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Subiac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Città Metropolitana di Roma Capital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